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9B" w:rsidRPr="0066059B" w:rsidRDefault="0066059B" w:rsidP="0066059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Pr="00660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6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66059B" w:rsidRPr="0066059B" w:rsidRDefault="0066059B" w:rsidP="00660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66059B" w:rsidRPr="0066059B" w:rsidRDefault="0066059B" w:rsidP="00660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66059B" w:rsidRPr="0066059B" w:rsidRDefault="0066059B" w:rsidP="00660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6059B" w:rsidRPr="0066059B" w:rsidRDefault="0066059B" w:rsidP="00660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66059B" w:rsidRPr="0066059B" w:rsidRDefault="0066059B" w:rsidP="0066059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ДОНСКОГО СЕЛЬСКОГО ПОСЕЛЕНИЯ                          </w:t>
      </w:r>
      <w:r w:rsidRPr="00660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</w:p>
    <w:p w:rsidR="0066059B" w:rsidRPr="0066059B" w:rsidRDefault="0066059B" w:rsidP="0066059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059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95688" w:rsidRPr="00C95688" w:rsidRDefault="00C95688" w:rsidP="00660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DA61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                                </w:t>
      </w:r>
      <w:r w:rsidR="00DB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C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AE7D8A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2023-2036 годов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170</w:t>
        </w:r>
        <w:r w:rsidRPr="00C9568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9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27.12.2018 № 10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Донском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</w:t>
      </w:r>
      <w:hyperlink r:id="rId10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долгосрочный период», во исполнение пункта 6 Порядка и сроков составления проекта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 на 2023 и на плановый период 2024 и 2025 годов, утвержденного постановлением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 № 9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Администрация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9568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Pr="00C9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AE7D8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бюджетный </w:t>
      </w:r>
      <w:hyperlink r:id="rId11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период 2023 – 2030 годов согласно приложению 1 к настоящему постановлению</w:t>
      </w:r>
      <w:r w:rsidRPr="00C9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и применяется к правоотношениям, возникшим с 01.01.2023 года.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 заведующего сектором экономики и финансов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C95688" w:rsidRPr="00C95688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М.О.</w:t>
      </w:r>
      <w:r w:rsidR="00514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Осляка</w:t>
      </w: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95688" w:rsidRPr="00C95688" w:rsidRDefault="00AE7D8A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059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.02.2023 №</w:t>
      </w:r>
      <w:r w:rsidR="0066059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</w:t>
      </w:r>
    </w:p>
    <w:p w:rsidR="00C95688" w:rsidRPr="00C95688" w:rsidRDefault="00AE7D8A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период 2023 – 2030 годов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Общие положения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решением Собрания депутатов от 27.12.2018 № 10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бюджетном процессе 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ском сельском поселении»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 статья 15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долгосрочный период утверждены постановлением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долгосрочный период».</w:t>
      </w:r>
    </w:p>
    <w:p w:rsidR="00C95688" w:rsidRPr="000E0CFF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2017 – 2030 годов был утвержден постановлением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28.02.2017 № </w:t>
      </w:r>
      <w:r w:rsidR="00AE7D8A"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 Бюджетного кодекса Российской Федерации 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2023-2030 годов разработан на основе долгосрочного 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до 2030 года в соответствии с распоряжением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период 2023 – 2030 годов (далее – бюджетный прогноз) содержит информацию об основных параметрах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ского сельского поселения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в качестве базового для целей бюджетного планирования,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а также основные подходы к формированию бюджетной политики в указанном периоде. Параметры финансового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их действия соответствуют параметрам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утвержденным решением Собрания депутатов о бюджете на очередной финансовый год и плановый период.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2023 – 2025 годов показатели бюджетного прогноза по доходам сформированы на основании решения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27.12.2022 №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Орловского района на 2023 год и на плановый период 2024 и 2025 годов».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2026-2030 годы ежегодный средний темп роста доходов бюджета составит 3,7 процентов, налоговых и неналоговых доходов бюджета – 4,0 процентов, объем безвозмездных поступлений запланирован с увеличением к 2030 году на уровень инфляции.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по расходам рассчитаны с учетом прогноза доходов и запланированных источников покрытия дефицита. В среднем расходы к 2030 году запланированы к увеличению на 9,0 процентов в сравнении с 2023 годом.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дефицит (профицит), источники финансирования дефицита не предусмотрены в связи с планированием сбалансированности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собственных налоговых и неналоговых доходов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в реальном выражении (без  учета роста за счет индекса инфляции) к 2030 году увеличится на 25,3 % от уровня 2023 года. Доходы и расходы  бюджета в целом прогнозируются к 2030 году с увеличением от уровня 2023 года в реальном выражении (без учета роста за счет индекса инфляции) на 9,0 процентов. 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95688">
        <w:rPr>
          <w:rFonts w:ascii="Times New Roman" w:eastAsia="Times New Roman" w:hAnsi="Times New Roman" w:cs="Times New Roman"/>
          <w:sz w:val="2"/>
          <w:szCs w:val="2"/>
          <w:lang w:eastAsia="ru-RU"/>
        </w:rPr>
        <w:t>12013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2023 – 2030 годах учтены показатели в соответствии с долгосрочным 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прогнозом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ского сельского поселения на период  до 2030 года, утвержденные распоряжением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прогнозе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период до 2025 года»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C95688" w:rsidRPr="00C95688" w:rsidRDefault="00C95688" w:rsidP="00C95688">
      <w:pPr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рублей)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0"/>
        <w:gridCol w:w="924"/>
        <w:gridCol w:w="924"/>
        <w:gridCol w:w="926"/>
        <w:gridCol w:w="923"/>
        <w:gridCol w:w="924"/>
        <w:gridCol w:w="924"/>
        <w:gridCol w:w="926"/>
        <w:gridCol w:w="1055"/>
      </w:tblGrid>
      <w:tr w:rsidR="00C95688" w:rsidRPr="00C95688" w:rsidTr="00AE7D8A">
        <w:tc>
          <w:tcPr>
            <w:tcW w:w="2041" w:type="dxa"/>
            <w:vMerge w:val="restart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81" w:type="dxa"/>
            <w:gridSpan w:val="8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C95688" w:rsidRPr="00C95688" w:rsidTr="00AE7D8A">
        <w:tc>
          <w:tcPr>
            <w:tcW w:w="2041" w:type="dxa"/>
            <w:vMerge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13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5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924"/>
        <w:gridCol w:w="924"/>
        <w:gridCol w:w="926"/>
        <w:gridCol w:w="924"/>
        <w:gridCol w:w="924"/>
        <w:gridCol w:w="923"/>
        <w:gridCol w:w="926"/>
        <w:gridCol w:w="1054"/>
      </w:tblGrid>
      <w:tr w:rsidR="00C95688" w:rsidRPr="00C95688" w:rsidTr="000279C1">
        <w:trPr>
          <w:cantSplit/>
          <w:tblHeader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9</w:t>
            </w:r>
          </w:p>
        </w:tc>
      </w:tr>
      <w:tr w:rsidR="00C95688" w:rsidRPr="00C95688" w:rsidTr="000279C1">
        <w:trPr>
          <w:cantSplit/>
        </w:trPr>
        <w:tc>
          <w:tcPr>
            <w:tcW w:w="9416" w:type="dxa"/>
            <w:gridSpan w:val="9"/>
            <w:hideMark/>
          </w:tcPr>
          <w:p w:rsidR="00C95688" w:rsidRPr="00C95688" w:rsidRDefault="00C95688" w:rsidP="000279C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highlight w:val="yellow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Показатели бюджета </w:t>
            </w:r>
            <w:r w:rsidR="000279C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Доходы, </w:t>
            </w:r>
          </w:p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в том числе: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7918,0</w:t>
            </w:r>
          </w:p>
        </w:tc>
        <w:tc>
          <w:tcPr>
            <w:tcW w:w="926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7602,4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7906,4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8222,8</w:t>
            </w:r>
          </w:p>
        </w:tc>
        <w:tc>
          <w:tcPr>
            <w:tcW w:w="923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8551,6</w:t>
            </w:r>
          </w:p>
        </w:tc>
        <w:tc>
          <w:tcPr>
            <w:tcW w:w="926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8893,7</w:t>
            </w:r>
          </w:p>
        </w:tc>
        <w:tc>
          <w:tcPr>
            <w:tcW w:w="105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9249,4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3443,9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34484,3</w:t>
            </w:r>
          </w:p>
        </w:tc>
        <w:tc>
          <w:tcPr>
            <w:tcW w:w="926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3544,1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3685,8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3833,3</w:t>
            </w:r>
          </w:p>
        </w:tc>
        <w:tc>
          <w:tcPr>
            <w:tcW w:w="923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3986,6</w:t>
            </w:r>
          </w:p>
        </w:tc>
        <w:tc>
          <w:tcPr>
            <w:tcW w:w="926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4146,1</w:t>
            </w:r>
          </w:p>
        </w:tc>
        <w:tc>
          <w:tcPr>
            <w:tcW w:w="105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4311,9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5443,0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4433,7</w:t>
            </w:r>
          </w:p>
        </w:tc>
        <w:tc>
          <w:tcPr>
            <w:tcW w:w="926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4058,3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4220,6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4389,5</w:t>
            </w:r>
          </w:p>
        </w:tc>
        <w:tc>
          <w:tcPr>
            <w:tcW w:w="923" w:type="dxa"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4565,0</w:t>
            </w:r>
          </w:p>
        </w:tc>
        <w:tc>
          <w:tcPr>
            <w:tcW w:w="926" w:type="dxa"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4747,6</w:t>
            </w:r>
          </w:p>
        </w:tc>
        <w:tc>
          <w:tcPr>
            <w:tcW w:w="1054" w:type="dxa"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4937,5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lastRenderedPageBreak/>
              <w:t>Расходы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7918,0</w:t>
            </w:r>
          </w:p>
        </w:tc>
        <w:tc>
          <w:tcPr>
            <w:tcW w:w="926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7602,4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7906,4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8222,8</w:t>
            </w:r>
          </w:p>
        </w:tc>
        <w:tc>
          <w:tcPr>
            <w:tcW w:w="923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8551,6</w:t>
            </w:r>
          </w:p>
        </w:tc>
        <w:tc>
          <w:tcPr>
            <w:tcW w:w="926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8893,7</w:t>
            </w:r>
          </w:p>
        </w:tc>
        <w:tc>
          <w:tcPr>
            <w:tcW w:w="1054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9249,4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 (без учета условно утвержденных расходов)*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7918,0</w:t>
            </w:r>
          </w:p>
        </w:tc>
        <w:tc>
          <w:tcPr>
            <w:tcW w:w="926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7602,4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7906,4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8222,8</w:t>
            </w:r>
          </w:p>
        </w:tc>
        <w:tc>
          <w:tcPr>
            <w:tcW w:w="923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8551,6</w:t>
            </w:r>
          </w:p>
        </w:tc>
        <w:tc>
          <w:tcPr>
            <w:tcW w:w="926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8893,7</w:t>
            </w:r>
          </w:p>
        </w:tc>
        <w:tc>
          <w:tcPr>
            <w:tcW w:w="1054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9249,4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Дефицит/профицит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Источники финансирования дефицита бюджета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Муниципальный долг </w:t>
            </w:r>
            <w:r w:rsidRPr="00C95688">
              <w:rPr>
                <w:rFonts w:ascii="Times New Roman" w:eastAsia="Calibri" w:hAnsi="Times New Roman" w:cs="Times New Roman"/>
                <w:bCs/>
                <w:spacing w:val="-6"/>
              </w:rPr>
              <w:t>к налоговым и неналоговым</w:t>
            </w:r>
            <w:r w:rsidRPr="00C95688">
              <w:rPr>
                <w:rFonts w:ascii="Times New Roman" w:eastAsia="Calibri" w:hAnsi="Times New Roman" w:cs="Times New Roman"/>
                <w:bCs/>
              </w:rPr>
              <w:t xml:space="preserve"> доходам (процентов)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</w:tbl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расходах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выделены расходы за исключением условно утвержденных расходов на плановый период 2024 – 2030 годов в соответствии с методикой расчета,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2025 год – 5,0 процентов от общего объема расходов за исключением расходов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 счет целевых средств из областного бюджета, далее по годам с увеличением на 2,5 процента ежегодно.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**Показатели бюджета на 2023-2025 годы учтены 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27.12.2022 №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Орловского района на 2023 год и на плановый период 2024 и 2025 годов». Показатели бюджета на 2026-2030 годы предусмотрены по доходам с учетом темпа роста налоговых и неналоговых доходов, по расходам с учетом уровня инфляции.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2.1. Показатели финансового обеспечения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1294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рублей)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821"/>
        <w:gridCol w:w="789"/>
        <w:gridCol w:w="800"/>
        <w:gridCol w:w="795"/>
        <w:gridCol w:w="787"/>
        <w:gridCol w:w="920"/>
        <w:gridCol w:w="918"/>
        <w:gridCol w:w="813"/>
      </w:tblGrid>
      <w:tr w:rsidR="00C95688" w:rsidRPr="00C95688" w:rsidTr="00AE7D8A">
        <w:trPr>
          <w:tblHeader/>
        </w:trPr>
        <w:tc>
          <w:tcPr>
            <w:tcW w:w="10268" w:type="dxa"/>
            <w:gridSpan w:val="9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 на финансовое обеспечение реализации муниципальных программ Орловского района</w:t>
            </w:r>
            <w:proofErr w:type="gramStart"/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 w:val="restart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:rsidR="00C95688" w:rsidRPr="00C95688" w:rsidRDefault="00AE7D8A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</w:t>
            </w:r>
            <w:r w:rsidR="00C95688"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7119" w:type="dxa"/>
            <w:gridSpan w:val="8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Год периода прогнозирования</w:t>
            </w:r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7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13"/>
        <w:gridCol w:w="820"/>
        <w:gridCol w:w="788"/>
        <w:gridCol w:w="789"/>
        <w:gridCol w:w="806"/>
        <w:gridCol w:w="788"/>
        <w:gridCol w:w="919"/>
        <w:gridCol w:w="917"/>
        <w:gridCol w:w="813"/>
      </w:tblGrid>
      <w:tr w:rsidR="00C95688" w:rsidRPr="00C95688" w:rsidTr="000279C1">
        <w:trPr>
          <w:tblHeader/>
        </w:trPr>
        <w:tc>
          <w:tcPr>
            <w:tcW w:w="29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Обеспечение общественного порядка и противодействие </w:t>
            </w: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преступности</w:t>
            </w:r>
          </w:p>
        </w:tc>
        <w:tc>
          <w:tcPr>
            <w:tcW w:w="820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8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19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17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13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20" w:type="dxa"/>
          </w:tcPr>
          <w:p w:rsidR="00DA1758" w:rsidRPr="00C95688" w:rsidRDefault="00DA1758" w:rsidP="00D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культуры и туризма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2195,1</w:t>
            </w:r>
          </w:p>
        </w:tc>
        <w:tc>
          <w:tcPr>
            <w:tcW w:w="788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1476,7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922,0</w:t>
            </w:r>
          </w:p>
        </w:tc>
        <w:tc>
          <w:tcPr>
            <w:tcW w:w="806" w:type="dxa"/>
          </w:tcPr>
          <w:p w:rsidR="00BC4941" w:rsidRPr="00C95688" w:rsidRDefault="00BC4941" w:rsidP="00B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1159,3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E95AFD">
              <w:t>1159,3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E95AFD">
              <w:t>1159,3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E95AFD">
              <w:t>1159,3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E95AFD">
              <w:t>1159,3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Охрана окружающей среды и рациональное природопользование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BC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физической культуры и спорта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BC4941" w:rsidRDefault="00BC4941">
            <w:r w:rsidRPr="004F6E09">
              <w:t>0,0</w:t>
            </w:r>
          </w:p>
        </w:tc>
        <w:tc>
          <w:tcPr>
            <w:tcW w:w="788" w:type="dxa"/>
          </w:tcPr>
          <w:p w:rsidR="00BC4941" w:rsidRDefault="00BC4941">
            <w:r w:rsidRPr="004F6E09">
              <w:t>0,0</w:t>
            </w:r>
          </w:p>
        </w:tc>
        <w:tc>
          <w:tcPr>
            <w:tcW w:w="919" w:type="dxa"/>
          </w:tcPr>
          <w:p w:rsidR="00BC4941" w:rsidRDefault="00BC4941">
            <w:r w:rsidRPr="004F6E09">
              <w:t>0,0</w:t>
            </w:r>
          </w:p>
        </w:tc>
        <w:tc>
          <w:tcPr>
            <w:tcW w:w="917" w:type="dxa"/>
          </w:tcPr>
          <w:p w:rsidR="00BC4941" w:rsidRDefault="00BC4941">
            <w:r w:rsidRPr="004F6E09">
              <w:t>0,0</w:t>
            </w:r>
          </w:p>
        </w:tc>
        <w:tc>
          <w:tcPr>
            <w:tcW w:w="813" w:type="dxa"/>
          </w:tcPr>
          <w:p w:rsidR="00BC4941" w:rsidRDefault="00BC4941">
            <w:r w:rsidRPr="004F6E09"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транспортной системы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88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Муниципальная политика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Эффективное управление муниципальными финансами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5628,5</w:t>
            </w:r>
          </w:p>
        </w:tc>
        <w:tc>
          <w:tcPr>
            <w:tcW w:w="788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5385,4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5439,4</w:t>
            </w:r>
          </w:p>
        </w:tc>
        <w:tc>
          <w:tcPr>
            <w:tcW w:w="806" w:type="dxa"/>
          </w:tcPr>
          <w:p w:rsidR="00BC4941" w:rsidRPr="00C95688" w:rsidRDefault="00BC4941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3582,8</w:t>
            </w:r>
          </w:p>
        </w:tc>
        <w:tc>
          <w:tcPr>
            <w:tcW w:w="788" w:type="dxa"/>
          </w:tcPr>
          <w:p w:rsidR="00BC4941" w:rsidRDefault="00BC4941">
            <w:r w:rsidRPr="00B0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3582,8</w:t>
            </w:r>
          </w:p>
        </w:tc>
        <w:tc>
          <w:tcPr>
            <w:tcW w:w="919" w:type="dxa"/>
          </w:tcPr>
          <w:p w:rsidR="00BC4941" w:rsidRDefault="00BC4941">
            <w:r w:rsidRPr="00B0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3582,8</w:t>
            </w:r>
          </w:p>
        </w:tc>
        <w:tc>
          <w:tcPr>
            <w:tcW w:w="917" w:type="dxa"/>
          </w:tcPr>
          <w:p w:rsidR="00BC4941" w:rsidRDefault="00BC4941">
            <w:r w:rsidRPr="00B0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3582,8</w:t>
            </w:r>
          </w:p>
        </w:tc>
        <w:tc>
          <w:tcPr>
            <w:tcW w:w="813" w:type="dxa"/>
          </w:tcPr>
          <w:p w:rsidR="00BC4941" w:rsidRDefault="00BC4941">
            <w:r w:rsidRPr="00B0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3582,8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788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Социальная поддержка граждан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88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89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06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788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19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17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13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8728,6</w:t>
            </w:r>
          </w:p>
        </w:tc>
        <w:tc>
          <w:tcPr>
            <w:tcW w:w="788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7475,1</w:t>
            </w:r>
          </w:p>
        </w:tc>
        <w:tc>
          <w:tcPr>
            <w:tcW w:w="789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6974,4</w:t>
            </w:r>
          </w:p>
        </w:tc>
        <w:tc>
          <w:tcPr>
            <w:tcW w:w="806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4813,0</w:t>
            </w:r>
          </w:p>
        </w:tc>
        <w:tc>
          <w:tcPr>
            <w:tcW w:w="788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4813,0</w:t>
            </w:r>
          </w:p>
        </w:tc>
        <w:tc>
          <w:tcPr>
            <w:tcW w:w="919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4813,0</w:t>
            </w:r>
          </w:p>
        </w:tc>
        <w:tc>
          <w:tcPr>
            <w:tcW w:w="917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4813,0</w:t>
            </w:r>
          </w:p>
        </w:tc>
        <w:tc>
          <w:tcPr>
            <w:tcW w:w="813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4813,0</w:t>
            </w:r>
          </w:p>
        </w:tc>
      </w:tr>
    </w:tbl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*В составе бюджетного прогноза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 Орловского района на период 2023-2025 годы расходы на финансовое обеспечение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 учтены 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27.12.2022 №</w:t>
      </w:r>
      <w:r w:rsidR="000E0C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56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Орловского района на 2023 год и на плановый период 2024 и 2025 годов».</w:t>
      </w:r>
      <w:proofErr w:type="gramEnd"/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** Показатели бюджета на 2026-2030 годы предусмотрены на уровне показателей 2025 года.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подходы к формированию</w:t>
      </w: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бюджетной политики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период 2023 – 2030 годов</w:t>
      </w:r>
    </w:p>
    <w:p w:rsidR="00C95688" w:rsidRPr="00C95688" w:rsidRDefault="00C95688" w:rsidP="00C9568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разработан на основе долгосрочного 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до 2030 года  в соответствии с распоряжением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прогнозных показателей дефицита (профицита), источников его финансирования и муниципального долга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долгосрочный период будет направлена на обеспечение решения приоритетных задач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при одновременном обеспечении устойчивости и сбалансированности бюджетной системы.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</w:t>
      </w: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(налоговых и неналоговых) доходов</w:t>
      </w: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налоговые и неналоговые доходы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 2030 году увеличатся на 12,9% к уровню 2023 года. 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2017 - 2021 годов динамика налоговых и неналоговых доходов наглядно демонстрирует не стабильное увеличение доходной части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в период 2018-2020 году наблюдалось ежегодное снижение поступлений налоговых и неналоговых доходов, в 2021 году наблюдается  рост на 36,3 процентов к фактическим поступлениям 2020 года.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Поступательной динамике собственных доходов способствует стимулирующий характер налоговой политики поселения. За истекший период в области налоговой политики решены следующие задачи: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2020-2022 годов введены меры поддержки пострадавшим отраслям экономики в условиях распространения </w:t>
      </w:r>
      <w:proofErr w:type="spell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по аренде имущества и аренде земельных участков находящихся в муниципальной собственности. Налоговые и неналоговые доходы спрогнозированы в соответствии с положениями Бюджетного </w:t>
      </w:r>
      <w:hyperlink r:id="rId12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Налогового кодекса Российской Федерации на основе показателей 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C95688" w:rsidRPr="00C95688" w:rsidRDefault="00C95688" w:rsidP="00C9568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C95688" w:rsidRDefault="00C95688" w:rsidP="00C9568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95688" w:rsidRPr="00C95688" w:rsidRDefault="00C95688" w:rsidP="00C9568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областной финансовой помощи</w:t>
      </w:r>
    </w:p>
    <w:p w:rsidR="00C95688" w:rsidRPr="00C95688" w:rsidRDefault="00C95688" w:rsidP="00C9568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безвозмездных поступлений на 2023 – 2025 годы соответствует значениям, утвержденным решением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27.12.2022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Орловского района на 2023 год и на плановый период 2024 и 2025 годов».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2026 года, расчет безвозмездных поступлений осуществлен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индекса инфляции для расчета дотации на выравнивание уровня бюджетной обеспеченности на 4,0 процента к объему дотации, утвержденной на 2025 год, а также учтена дотация на частичную компенсацию дополнительных расходов на повышение оплаты труда  работников бюджетной сферы на уровне 2023 года. 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трансферты с 2026 года по 2030 год из федерального, областного бюджета за счет исключения межбюджетных трансфертов на реализацию национальных проектов, одновременно с увеличением ежегодно объема целевых межбюджетных трансфертов, не связанных с реализацией национальных  проектов, на уровень инфляции на 4,0 процента от 2030 года.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расходов</w:t>
      </w:r>
    </w:p>
    <w:p w:rsidR="00C95688" w:rsidRPr="00C95688" w:rsidRDefault="00C95688" w:rsidP="00C95688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период 2023-2030 годов рассчитаны с учетом прогноза поступлений доходов и запланированных источников покрытия дефицита. </w:t>
      </w:r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и 2025 годы учтены условно утвержденные расходы в объеме 2,5 процента и 5,0 процентов от общего объема расходов 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за исключением расходов, предусмотренных за счет целевых средств из областного бюджета, с 2026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27.12.2018 № 10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сельском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поселении» бюджет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составляется на основе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формируемых в рамках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ежегодно планируется более 90 процентов в общем объеме расходов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(с учетом дальнейшего распределения по муниципальным программам резерва в виде условно утвержденных расходов).</w:t>
      </w:r>
    </w:p>
    <w:p w:rsidR="00C95688" w:rsidRPr="00C95688" w:rsidRDefault="00C95688" w:rsidP="00C956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объем сре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ск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онцентрирован на реализации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предусматривающих благоустройство территории, создание благоприятных условий для проживания и отдыха населения, развитие культуры и спорта, социальную поддержку.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</w:t>
      </w:r>
    </w:p>
    <w:p w:rsidR="00C95688" w:rsidRPr="00C95688" w:rsidRDefault="00C95688" w:rsidP="00C95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отношений с местными бюджетами</w:t>
      </w:r>
    </w:p>
    <w:p w:rsidR="00C95688" w:rsidRPr="00C95688" w:rsidRDefault="00C95688" w:rsidP="00C95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среднесрочной и долгосрочной перспективе межбюджетные отношения с бюджетом муниципального района  и их совершенствование будут являться одними из приоритетных направлений бюджетной политики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направленные на повышение финансовой самостоятельности местного бюджета, оказание содействия его сбалансированности, качественное управление муниципальными финансами.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касается как вопросов оказания финансовой помощи из бюджета Орловского района, так и методологического обеспечения деятельности органов местного самоуправления.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Дотациям на выравнивание бюджетной обеспеченности муниципальных образований будет отведена ведущая роль в системе межбюджетного регулирования.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выделения: отсутствие просроченной кредиторской задолженности, сокращение недоимки, ограничения по муниципальному долгу и дефициту местных бюджетов и других, направленных на эффективное формирование и исполнение бюджетов.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будет уделяться повышению эффективности предоставления и расходования межбюджетных трансфертов местным бюджетом, а также повышению ответственности органов местного самоуправления при расходовании бюджетных средств.</w:t>
      </w: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Немаловажная роль будет отведена методологическому обеспечению деятельности муниципального образования по бюджетно-финансовым вопросам, осуществлению постоянного контроля со стороны муниципального района за планированием и исполнением бюджета.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долговой политике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задачей является обеспечение уровня муниципального долга, позволяющего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сельскому поселению обслуживать долговые обязательства и исполнять расходные обязательства.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долговой политики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до 2030 года будет являться ограничение муниципального долга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минимизация расходов на его обслуживание.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долговая политика будет направлена на обеспечение платежеспособности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сохранение муниципального долга на экономически оптимальном уровне, при этом должна быть обеспечена способность поселения осуществлять заимствования в объемах, необходимых для решения поставленных социально-экономических задач на комфортных для поселения условиях.</w:t>
      </w: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2"/>
      <w:bookmarkEnd w:id="1"/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27" w:rsidRDefault="00551827"/>
    <w:sectPr w:rsidR="00551827" w:rsidSect="0066059B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C9" w:rsidRDefault="001125C9">
      <w:pPr>
        <w:spacing w:after="0" w:line="240" w:lineRule="auto"/>
      </w:pPr>
      <w:r>
        <w:separator/>
      </w:r>
    </w:p>
  </w:endnote>
  <w:endnote w:type="continuationSeparator" w:id="0">
    <w:p w:rsidR="001125C9" w:rsidRDefault="0011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8A" w:rsidRDefault="00AE7D8A" w:rsidP="00AE7D8A">
    <w:pPr>
      <w:pStyle w:val="a7"/>
      <w:framePr w:wrap="around" w:vAnchor="text" w:hAnchor="margin" w:xAlign="right" w:y="1"/>
      <w:rPr>
        <w:rStyle w:val="ab"/>
      </w:rPr>
    </w:pPr>
  </w:p>
  <w:p w:rsidR="00AE7D8A" w:rsidRPr="00DE5377" w:rsidRDefault="00AE7D8A" w:rsidP="00AE7D8A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C9" w:rsidRDefault="001125C9">
      <w:pPr>
        <w:spacing w:after="0" w:line="240" w:lineRule="auto"/>
      </w:pPr>
      <w:r>
        <w:separator/>
      </w:r>
    </w:p>
  </w:footnote>
  <w:footnote w:type="continuationSeparator" w:id="0">
    <w:p w:rsidR="001125C9" w:rsidRDefault="00112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073C"/>
    <w:multiLevelType w:val="hybridMultilevel"/>
    <w:tmpl w:val="ECE0F1E2"/>
    <w:lvl w:ilvl="0" w:tplc="9D820CF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4DC613A"/>
    <w:multiLevelType w:val="hybridMultilevel"/>
    <w:tmpl w:val="8BB2A59E"/>
    <w:lvl w:ilvl="0" w:tplc="EFC895A0">
      <w:start w:val="1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775F0"/>
    <w:multiLevelType w:val="hybridMultilevel"/>
    <w:tmpl w:val="623E6C78"/>
    <w:lvl w:ilvl="0" w:tplc="8D0809E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AE6"/>
    <w:multiLevelType w:val="hybridMultilevel"/>
    <w:tmpl w:val="51DE40B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510E99"/>
    <w:multiLevelType w:val="hybridMultilevel"/>
    <w:tmpl w:val="028C3610"/>
    <w:lvl w:ilvl="0" w:tplc="684A70C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904D4"/>
    <w:multiLevelType w:val="hybridMultilevel"/>
    <w:tmpl w:val="55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7DC36F31"/>
    <w:multiLevelType w:val="multilevel"/>
    <w:tmpl w:val="EF4A88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BD"/>
    <w:rsid w:val="000279C1"/>
    <w:rsid w:val="000E0CFF"/>
    <w:rsid w:val="000F2B77"/>
    <w:rsid w:val="001125C9"/>
    <w:rsid w:val="00486646"/>
    <w:rsid w:val="005012C5"/>
    <w:rsid w:val="00514B10"/>
    <w:rsid w:val="00551827"/>
    <w:rsid w:val="00592E5F"/>
    <w:rsid w:val="0066059B"/>
    <w:rsid w:val="00725CCF"/>
    <w:rsid w:val="007E6F9E"/>
    <w:rsid w:val="00811038"/>
    <w:rsid w:val="008578BD"/>
    <w:rsid w:val="00A84E71"/>
    <w:rsid w:val="00AA5B60"/>
    <w:rsid w:val="00AE7D8A"/>
    <w:rsid w:val="00B27E92"/>
    <w:rsid w:val="00B322FA"/>
    <w:rsid w:val="00B323A4"/>
    <w:rsid w:val="00B452E8"/>
    <w:rsid w:val="00BC4941"/>
    <w:rsid w:val="00C95688"/>
    <w:rsid w:val="00D219C8"/>
    <w:rsid w:val="00DA1758"/>
    <w:rsid w:val="00DA618A"/>
    <w:rsid w:val="00DB61C5"/>
    <w:rsid w:val="00E152D6"/>
    <w:rsid w:val="00E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D8DE1D5F881BE68B443441A544BA6B06D557BD84D1E7911D789126DCF76C6E4ACC0CF8928A84593094B30520A9Q9Q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EAB5A8A1155EB0F9B9CEA97921B29B23C359EE4400F4153CA4582CF5FB7435EF44788FB818952B8776E5D414d1b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AA295307B0177377D6C6D30B33D71EE482183841A647E93553D300E2D4D7B2D15D7EC66D9BFE663A1B8858F69BD9CB1D6287B3023C9BD64B665BE7A6Q2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AA295307B0177377D6C6D30B33D71EE482183841A54DEF3352D300E2D4D7B2D15D7EC66D9BFE663A1B8058F69BD9CB1D6287B3023C9BD64B665BE7A6Q2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2023-02-21T06:03:00Z</dcterms:created>
  <dcterms:modified xsi:type="dcterms:W3CDTF">2023-03-01T05:45:00Z</dcterms:modified>
</cp:coreProperties>
</file>