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ПРОЕКТ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5326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«___»______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5326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2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12801,6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12228,1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D9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573,5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102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 w:rsid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22F0B" w:rsidRP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1021A" w:rsidRDefault="00C1021A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1021A" w:rsidRDefault="00C1021A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C1021A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F0B" w:rsidRDefault="00C1021A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</w:t>
      </w:r>
      <w:r w:rsidR="00D90074">
        <w:rPr>
          <w:rFonts w:ascii="Times New Roman" w:hAnsi="Times New Roman" w:cs="Times New Roman"/>
          <w:sz w:val="28"/>
          <w:szCs w:val="28"/>
        </w:rPr>
        <w:t>1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AA26E1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A26E1" w:rsidRPr="00AA26E1" w:rsidRDefault="00C1021A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>9) по исполнению</w:t>
      </w:r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трансфертов, выделяемых бюджету Донского  сельского поселения  Орловского района из бюджета Орловского района для </w:t>
      </w:r>
      <w:proofErr w:type="spellStart"/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местного значения за 2021 год, согласно приложению 9</w:t>
      </w:r>
      <w:r w:rsidR="00AA26E1" w:rsidRP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AA2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Решению.</w:t>
      </w:r>
    </w:p>
    <w:p w:rsidR="00AA26E1" w:rsidRPr="00192BC6" w:rsidRDefault="00AA26E1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</w:t>
      </w:r>
      <w:r w:rsidR="00C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Могиркина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«__»_______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900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67D" w:rsidRDefault="006B067D">
      <w:pPr>
        <w:spacing w:after="0" w:line="240" w:lineRule="auto"/>
      </w:pPr>
      <w:r>
        <w:separator/>
      </w:r>
    </w:p>
  </w:endnote>
  <w:endnote w:type="continuationSeparator" w:id="0">
    <w:p w:rsidR="006B067D" w:rsidRDefault="006B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67D" w:rsidRDefault="006B067D">
      <w:pPr>
        <w:spacing w:after="0" w:line="240" w:lineRule="auto"/>
      </w:pPr>
      <w:r>
        <w:separator/>
      </w:r>
    </w:p>
  </w:footnote>
  <w:footnote w:type="continuationSeparator" w:id="0">
    <w:p w:rsidR="006B067D" w:rsidRDefault="006B0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11D2"/>
    <w:rsid w:val="00052423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67B50"/>
    <w:rsid w:val="00172D32"/>
    <w:rsid w:val="00177E24"/>
    <w:rsid w:val="001865E3"/>
    <w:rsid w:val="00192BC6"/>
    <w:rsid w:val="00193B0F"/>
    <w:rsid w:val="001A6CDF"/>
    <w:rsid w:val="00216A4E"/>
    <w:rsid w:val="00243A80"/>
    <w:rsid w:val="00252752"/>
    <w:rsid w:val="002529A0"/>
    <w:rsid w:val="002572AD"/>
    <w:rsid w:val="0027760E"/>
    <w:rsid w:val="00291AA3"/>
    <w:rsid w:val="002A3AD7"/>
    <w:rsid w:val="002A60E3"/>
    <w:rsid w:val="002C4C06"/>
    <w:rsid w:val="002E375C"/>
    <w:rsid w:val="00305F21"/>
    <w:rsid w:val="003101D8"/>
    <w:rsid w:val="00327DCD"/>
    <w:rsid w:val="00341983"/>
    <w:rsid w:val="00345EE9"/>
    <w:rsid w:val="00362251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2C06"/>
    <w:rsid w:val="00673B80"/>
    <w:rsid w:val="00674A3F"/>
    <w:rsid w:val="006801D1"/>
    <w:rsid w:val="00690B8F"/>
    <w:rsid w:val="006A6D5E"/>
    <w:rsid w:val="006B067D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A26E1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00C3"/>
    <w:rsid w:val="00C04486"/>
    <w:rsid w:val="00C1021A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0074"/>
    <w:rsid w:val="00D92764"/>
    <w:rsid w:val="00DB1299"/>
    <w:rsid w:val="00DC7CBE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53263"/>
    <w:rsid w:val="00F77636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407F8-7FCF-4AA9-A953-623B2953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72</cp:revision>
  <cp:lastPrinted>2017-05-04T09:36:00Z</cp:lastPrinted>
  <dcterms:created xsi:type="dcterms:W3CDTF">2017-05-02T03:45:00Z</dcterms:created>
  <dcterms:modified xsi:type="dcterms:W3CDTF">2022-05-17T04:33:00Z</dcterms:modified>
</cp:coreProperties>
</file>